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E5" w:rsidRPr="002C74E5" w:rsidRDefault="002C74E5" w:rsidP="00337279">
      <w:pPr>
        <w:jc w:val="both"/>
        <w:rPr>
          <w:b/>
        </w:rPr>
      </w:pPr>
      <w:bookmarkStart w:id="0" w:name="_GoBack"/>
      <w:bookmarkEnd w:id="0"/>
      <w:r w:rsidRPr="002C74E5">
        <w:rPr>
          <w:b/>
        </w:rPr>
        <w:t xml:space="preserve">ERRATA </w:t>
      </w:r>
      <w:r w:rsidR="00337279">
        <w:rPr>
          <w:b/>
        </w:rPr>
        <w:t>to Scrutiny Committee version of Appendix 1 of the Local Plan Committee Report</w:t>
      </w:r>
    </w:p>
    <w:p w:rsidR="002C74E5" w:rsidRPr="00337279" w:rsidRDefault="002C74E5" w:rsidP="00337279">
      <w:pPr>
        <w:jc w:val="both"/>
      </w:pPr>
      <w:r w:rsidRPr="00337279">
        <w:t xml:space="preserve">This </w:t>
      </w:r>
      <w:r w:rsidR="00337279">
        <w:t xml:space="preserve">errata </w:t>
      </w:r>
      <w:r w:rsidRPr="00337279">
        <w:t>note sets out</w:t>
      </w:r>
      <w:r w:rsidR="000C55BF" w:rsidRPr="00337279">
        <w:t xml:space="preserve"> changes between the Scrutiny version </w:t>
      </w:r>
      <w:r w:rsidRPr="00337279">
        <w:t xml:space="preserve">of the strikethrough </w:t>
      </w:r>
      <w:r w:rsidR="000C55BF" w:rsidRPr="00337279">
        <w:t xml:space="preserve">Local </w:t>
      </w:r>
      <w:r w:rsidRPr="00337279">
        <w:t xml:space="preserve">Plan (Appendix 1 of the Local Plan </w:t>
      </w:r>
      <w:r w:rsidR="009719C6">
        <w:t>Committee R</w:t>
      </w:r>
      <w:r w:rsidRPr="00337279">
        <w:t>eport) and the updated electronic copy</w:t>
      </w:r>
      <w:r w:rsidR="000C55BF" w:rsidRPr="00337279">
        <w:t xml:space="preserve"> published with the Cabinet and Council papers</w:t>
      </w:r>
      <w:r w:rsidRPr="00337279">
        <w:t xml:space="preserve">. </w:t>
      </w:r>
    </w:p>
    <w:p w:rsidR="00337279" w:rsidRDefault="002C74E5" w:rsidP="00337279">
      <w:pPr>
        <w:jc w:val="both"/>
      </w:pPr>
      <w:r>
        <w:t>Councillors are being asked</w:t>
      </w:r>
      <w:r w:rsidR="00337279">
        <w:t xml:space="preserve"> on 8</w:t>
      </w:r>
      <w:r w:rsidR="00337279" w:rsidRPr="00337279">
        <w:rPr>
          <w:vertAlign w:val="superscript"/>
        </w:rPr>
        <w:t>th</w:t>
      </w:r>
      <w:r w:rsidR="00337279">
        <w:t xml:space="preserve"> June</w:t>
      </w:r>
      <w:r>
        <w:t xml:space="preserve"> </w:t>
      </w:r>
      <w:r w:rsidR="00643561">
        <w:t xml:space="preserve">to </w:t>
      </w:r>
      <w:r>
        <w:t>adopt the submission version of the Local Plan</w:t>
      </w:r>
      <w:r w:rsidR="00337279">
        <w:rPr>
          <w:rStyle w:val="FootnoteReference"/>
        </w:rPr>
        <w:footnoteReference w:id="1"/>
      </w:r>
      <w:r w:rsidR="00337279">
        <w:t xml:space="preserve"> </w:t>
      </w:r>
      <w:r>
        <w:t>as amended by the Main Modifications</w:t>
      </w:r>
      <w:r w:rsidR="00643561">
        <w:t xml:space="preserve"> appended to the Inspectors’ report and shown in Appendix 3 of the committee report.</w:t>
      </w:r>
      <w:r w:rsidR="00E57983">
        <w:t xml:space="preserve"> </w:t>
      </w:r>
    </w:p>
    <w:p w:rsidR="00337279" w:rsidRDefault="00E57983" w:rsidP="00337279">
      <w:pPr>
        <w:jc w:val="both"/>
      </w:pPr>
      <w:r>
        <w:t xml:space="preserve">In acknowledgement that </w:t>
      </w:r>
      <w:r w:rsidR="00643561">
        <w:t xml:space="preserve">this </w:t>
      </w:r>
      <w:r>
        <w:t xml:space="preserve">can be hard to follow </w:t>
      </w:r>
      <w:r w:rsidR="00337279">
        <w:t>officers</w:t>
      </w:r>
      <w:r>
        <w:t xml:space="preserve"> </w:t>
      </w:r>
      <w:r w:rsidR="00643561">
        <w:t>produced</w:t>
      </w:r>
      <w:r>
        <w:t xml:space="preserve"> a strikethrough</w:t>
      </w:r>
      <w:r w:rsidR="00643561">
        <w:t xml:space="preserve"> version of the plan</w:t>
      </w:r>
      <w:r w:rsidR="00337279">
        <w:t xml:space="preserve"> showing the main modifications as well as some additional (minor) modifications (Appendix 1 of the committee report)</w:t>
      </w:r>
      <w:r w:rsidR="00643561">
        <w:t xml:space="preserve">. </w:t>
      </w:r>
    </w:p>
    <w:p w:rsidR="00B86596" w:rsidRDefault="00643561" w:rsidP="00337279">
      <w:pPr>
        <w:jc w:val="both"/>
      </w:pPr>
      <w:r>
        <w:t xml:space="preserve">Since </w:t>
      </w:r>
      <w:r w:rsidR="000C55BF">
        <w:t xml:space="preserve">the Scrutiny committee papers </w:t>
      </w:r>
      <w:r w:rsidR="00337279">
        <w:t xml:space="preserve">were </w:t>
      </w:r>
      <w:r w:rsidR="000C55BF">
        <w:t>published</w:t>
      </w:r>
      <w:r>
        <w:t xml:space="preserve"> </w:t>
      </w:r>
      <w:r w:rsidR="00337279">
        <w:t>officers</w:t>
      </w:r>
      <w:r>
        <w:t xml:space="preserve"> noticed some small errors in the way the Main Modifications were transferred into the strikethrough version of the Plan. The electronic copy has been correct</w:t>
      </w:r>
      <w:r w:rsidR="00375CE3">
        <w:t>ed</w:t>
      </w:r>
      <w:r w:rsidR="000C55BF">
        <w:t xml:space="preserve"> for Cabinet and Council</w:t>
      </w:r>
      <w:r w:rsidR="00337279">
        <w:t xml:space="preserve"> ahead of publication online</w:t>
      </w:r>
      <w:r>
        <w:t xml:space="preserve">. The table below shows the changes that have been made to the </w:t>
      </w:r>
      <w:r w:rsidR="000C55BF">
        <w:t>Scrutiny Committee version</w:t>
      </w:r>
      <w: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8"/>
        <w:gridCol w:w="8013"/>
      </w:tblGrid>
      <w:tr w:rsidR="00CB37DC" w:rsidRPr="00CB37DC" w:rsidTr="009719C6">
        <w:trPr>
          <w:tblHeader/>
        </w:trPr>
        <w:tc>
          <w:tcPr>
            <w:tcW w:w="1338" w:type="dxa"/>
            <w:shd w:val="clear" w:color="auto" w:fill="3B3838" w:themeFill="background2" w:themeFillShade="40"/>
          </w:tcPr>
          <w:p w:rsidR="00CB37DC" w:rsidRPr="00CB37DC" w:rsidRDefault="00CB37DC" w:rsidP="00337279">
            <w:pPr>
              <w:jc w:val="both"/>
              <w:rPr>
                <w:b/>
              </w:rPr>
            </w:pPr>
            <w:r w:rsidRPr="00CB37DC">
              <w:rPr>
                <w:b/>
              </w:rPr>
              <w:t xml:space="preserve">Paragraph/ Policy </w:t>
            </w:r>
          </w:p>
        </w:tc>
        <w:tc>
          <w:tcPr>
            <w:tcW w:w="8013" w:type="dxa"/>
            <w:shd w:val="clear" w:color="auto" w:fill="3B3838" w:themeFill="background2" w:themeFillShade="40"/>
          </w:tcPr>
          <w:p w:rsidR="00CB37DC" w:rsidRPr="00CB37DC" w:rsidRDefault="00CB37DC" w:rsidP="00337279">
            <w:pPr>
              <w:jc w:val="both"/>
              <w:rPr>
                <w:b/>
              </w:rPr>
            </w:pPr>
            <w:r w:rsidRPr="00CB37DC">
              <w:rPr>
                <w:b/>
              </w:rPr>
              <w:t xml:space="preserve">Difference between </w:t>
            </w:r>
            <w:r w:rsidR="000C55BF">
              <w:rPr>
                <w:b/>
              </w:rPr>
              <w:t>Scrutiny version</w:t>
            </w:r>
            <w:r w:rsidRPr="00CB37DC">
              <w:rPr>
                <w:b/>
              </w:rPr>
              <w:t xml:space="preserve"> of strikethrough plan and the amended electronic version</w:t>
            </w:r>
            <w:r w:rsidR="000C55BF">
              <w:rPr>
                <w:b/>
              </w:rPr>
              <w:t xml:space="preserve"> for Cabinet and Council</w:t>
            </w:r>
          </w:p>
        </w:tc>
      </w:tr>
      <w:tr w:rsidR="00942042" w:rsidTr="009719C6">
        <w:tc>
          <w:tcPr>
            <w:tcW w:w="9351" w:type="dxa"/>
            <w:gridSpan w:val="2"/>
            <w:shd w:val="clear" w:color="auto" w:fill="D9D9D9" w:themeFill="background1" w:themeFillShade="D9"/>
          </w:tcPr>
          <w:p w:rsidR="00942042" w:rsidRDefault="00942042" w:rsidP="00337279">
            <w:pPr>
              <w:jc w:val="both"/>
            </w:pPr>
            <w:r>
              <w:t>Introduction and Chapter 1</w:t>
            </w:r>
          </w:p>
        </w:tc>
      </w:tr>
      <w:tr w:rsidR="00CB37DC" w:rsidTr="009719C6">
        <w:tc>
          <w:tcPr>
            <w:tcW w:w="1338" w:type="dxa"/>
          </w:tcPr>
          <w:p w:rsidR="00CB37DC" w:rsidRDefault="00CB37DC" w:rsidP="00337279">
            <w:pPr>
              <w:jc w:val="both"/>
            </w:pPr>
          </w:p>
        </w:tc>
        <w:tc>
          <w:tcPr>
            <w:tcW w:w="8013" w:type="dxa"/>
          </w:tcPr>
          <w:p w:rsidR="00CB37DC" w:rsidRDefault="00CB37DC" w:rsidP="00337279">
            <w:pPr>
              <w:jc w:val="both"/>
            </w:pPr>
            <w:r>
              <w:t>No changes to note</w:t>
            </w:r>
          </w:p>
        </w:tc>
      </w:tr>
      <w:tr w:rsidR="00942042" w:rsidTr="009719C6">
        <w:tc>
          <w:tcPr>
            <w:tcW w:w="9351" w:type="dxa"/>
            <w:gridSpan w:val="2"/>
            <w:shd w:val="clear" w:color="auto" w:fill="D9D9D9" w:themeFill="background1" w:themeFillShade="D9"/>
          </w:tcPr>
          <w:p w:rsidR="00942042" w:rsidRDefault="00942042" w:rsidP="00337279">
            <w:pPr>
              <w:jc w:val="both"/>
            </w:pPr>
            <w:r>
              <w:t>Chapter 2</w:t>
            </w:r>
          </w:p>
        </w:tc>
      </w:tr>
      <w:tr w:rsidR="00CB37DC" w:rsidTr="009719C6">
        <w:tc>
          <w:tcPr>
            <w:tcW w:w="1338" w:type="dxa"/>
          </w:tcPr>
          <w:p w:rsidR="00CB37DC" w:rsidRDefault="00CB37DC" w:rsidP="00337279">
            <w:pPr>
              <w:jc w:val="both"/>
            </w:pPr>
          </w:p>
        </w:tc>
        <w:tc>
          <w:tcPr>
            <w:tcW w:w="8013" w:type="dxa"/>
          </w:tcPr>
          <w:p w:rsidR="00CB37DC" w:rsidRDefault="00CB37DC" w:rsidP="00337279">
            <w:pPr>
              <w:jc w:val="both"/>
            </w:pPr>
            <w:r>
              <w:t>No changes to note</w:t>
            </w:r>
          </w:p>
        </w:tc>
      </w:tr>
      <w:tr w:rsidR="00942042" w:rsidTr="009719C6">
        <w:tc>
          <w:tcPr>
            <w:tcW w:w="9351" w:type="dxa"/>
            <w:gridSpan w:val="2"/>
            <w:shd w:val="clear" w:color="auto" w:fill="D9D9D9" w:themeFill="background1" w:themeFillShade="D9"/>
          </w:tcPr>
          <w:p w:rsidR="00942042" w:rsidRDefault="00942042" w:rsidP="00337279">
            <w:pPr>
              <w:jc w:val="both"/>
            </w:pPr>
            <w:r>
              <w:t>Chapter 3</w:t>
            </w:r>
          </w:p>
        </w:tc>
      </w:tr>
      <w:tr w:rsidR="00CB37DC" w:rsidTr="009719C6">
        <w:tc>
          <w:tcPr>
            <w:tcW w:w="1338" w:type="dxa"/>
          </w:tcPr>
          <w:p w:rsidR="00CB37DC" w:rsidRDefault="00942042" w:rsidP="00337279">
            <w:pPr>
              <w:jc w:val="both"/>
            </w:pPr>
            <w:r>
              <w:t>Paragraph 3.9</w:t>
            </w:r>
          </w:p>
        </w:tc>
        <w:tc>
          <w:tcPr>
            <w:tcW w:w="8013" w:type="dxa"/>
          </w:tcPr>
          <w:p w:rsidR="00CB37DC" w:rsidRDefault="00942042" w:rsidP="00337279">
            <w:pPr>
              <w:jc w:val="both"/>
            </w:pPr>
            <w:r>
              <w:t xml:space="preserve">10,884 should not be shown as struck-through text but as red underlined text.  </w:t>
            </w:r>
          </w:p>
        </w:tc>
      </w:tr>
      <w:tr w:rsidR="00942042" w:rsidTr="009719C6">
        <w:tc>
          <w:tcPr>
            <w:tcW w:w="1338" w:type="dxa"/>
          </w:tcPr>
          <w:p w:rsidR="00942042" w:rsidRDefault="00942042" w:rsidP="00337279">
            <w:pPr>
              <w:jc w:val="both"/>
            </w:pPr>
            <w:r>
              <w:t>Policy H1</w:t>
            </w:r>
          </w:p>
        </w:tc>
        <w:tc>
          <w:tcPr>
            <w:tcW w:w="8013" w:type="dxa"/>
          </w:tcPr>
          <w:p w:rsidR="00942042" w:rsidRDefault="00942042" w:rsidP="00337279">
            <w:pPr>
              <w:jc w:val="both"/>
            </w:pPr>
            <w:r>
              <w:t>The new text for the second sentence has been amended to refer to the housing ‘requirement’ instead of the housing ‘target’</w:t>
            </w:r>
          </w:p>
        </w:tc>
      </w:tr>
      <w:tr w:rsidR="0041743D" w:rsidTr="009719C6">
        <w:tc>
          <w:tcPr>
            <w:tcW w:w="9351" w:type="dxa"/>
            <w:gridSpan w:val="2"/>
            <w:shd w:val="clear" w:color="auto" w:fill="D9D9D9" w:themeFill="background1" w:themeFillShade="D9"/>
          </w:tcPr>
          <w:p w:rsidR="0041743D" w:rsidRDefault="0041743D" w:rsidP="00337279">
            <w:pPr>
              <w:jc w:val="both"/>
            </w:pPr>
            <w:r>
              <w:t>Chapter 4</w:t>
            </w:r>
          </w:p>
        </w:tc>
      </w:tr>
      <w:tr w:rsidR="00CB37DC" w:rsidTr="009719C6">
        <w:tc>
          <w:tcPr>
            <w:tcW w:w="1338" w:type="dxa"/>
          </w:tcPr>
          <w:p w:rsidR="00CB37DC" w:rsidRDefault="00CB37DC" w:rsidP="00337279">
            <w:pPr>
              <w:jc w:val="both"/>
            </w:pPr>
          </w:p>
        </w:tc>
        <w:tc>
          <w:tcPr>
            <w:tcW w:w="8013" w:type="dxa"/>
          </w:tcPr>
          <w:p w:rsidR="00CB37DC" w:rsidRDefault="00CB37DC" w:rsidP="00337279">
            <w:pPr>
              <w:jc w:val="both"/>
            </w:pPr>
            <w:r>
              <w:t>No changes to note</w:t>
            </w:r>
          </w:p>
        </w:tc>
      </w:tr>
      <w:tr w:rsidR="00942042" w:rsidTr="009719C6">
        <w:tc>
          <w:tcPr>
            <w:tcW w:w="9351" w:type="dxa"/>
            <w:gridSpan w:val="2"/>
            <w:shd w:val="clear" w:color="auto" w:fill="D9D9D9" w:themeFill="background1" w:themeFillShade="D9"/>
          </w:tcPr>
          <w:p w:rsidR="00942042" w:rsidRDefault="00942042" w:rsidP="00337279">
            <w:pPr>
              <w:jc w:val="both"/>
            </w:pPr>
            <w:r>
              <w:t>Chapter 5</w:t>
            </w:r>
          </w:p>
        </w:tc>
      </w:tr>
      <w:tr w:rsidR="00CB37DC" w:rsidTr="009719C6">
        <w:tc>
          <w:tcPr>
            <w:tcW w:w="1338" w:type="dxa"/>
          </w:tcPr>
          <w:p w:rsidR="00CB37DC" w:rsidRDefault="00CB37DC" w:rsidP="00337279">
            <w:pPr>
              <w:jc w:val="both"/>
            </w:pPr>
            <w:r>
              <w:t>Policy G1</w:t>
            </w:r>
          </w:p>
        </w:tc>
        <w:tc>
          <w:tcPr>
            <w:tcW w:w="8013" w:type="dxa"/>
          </w:tcPr>
          <w:p w:rsidR="00CB37DC" w:rsidRDefault="00CB37DC" w:rsidP="00337279">
            <w:pPr>
              <w:jc w:val="both"/>
            </w:pPr>
            <w:r>
              <w:t>The words ‘are met’ at the end of the second paragraph of the policy are superfluous and not included in the main mod schedule</w:t>
            </w:r>
            <w:r w:rsidR="00D66674">
              <w:t xml:space="preserve"> or updated strikethrough version</w:t>
            </w:r>
            <w:r>
              <w:t>.</w:t>
            </w:r>
          </w:p>
        </w:tc>
      </w:tr>
      <w:tr w:rsidR="00CB37DC" w:rsidTr="009719C6">
        <w:tc>
          <w:tcPr>
            <w:tcW w:w="1338" w:type="dxa"/>
          </w:tcPr>
          <w:p w:rsidR="00CB37DC" w:rsidRDefault="00CB37DC" w:rsidP="00337279">
            <w:pPr>
              <w:jc w:val="both"/>
            </w:pPr>
            <w:r>
              <w:t>Policy G5</w:t>
            </w:r>
          </w:p>
        </w:tc>
        <w:tc>
          <w:tcPr>
            <w:tcW w:w="8013" w:type="dxa"/>
          </w:tcPr>
          <w:p w:rsidR="00CB37DC" w:rsidRDefault="00CB37DC" w:rsidP="00337279">
            <w:pPr>
              <w:jc w:val="both"/>
            </w:pPr>
            <w:r>
              <w:t xml:space="preserve">The second sentence of the policy should not include the text ‘not covered by Policies G1, G2, G3 and G4’. This text is not included in the Main Mods Schedule. </w:t>
            </w:r>
          </w:p>
        </w:tc>
      </w:tr>
      <w:tr w:rsidR="0041743D" w:rsidTr="009719C6">
        <w:tc>
          <w:tcPr>
            <w:tcW w:w="9351" w:type="dxa"/>
            <w:gridSpan w:val="2"/>
            <w:shd w:val="clear" w:color="auto" w:fill="D9D9D9" w:themeFill="background1" w:themeFillShade="D9"/>
          </w:tcPr>
          <w:p w:rsidR="0041743D" w:rsidRDefault="0041743D" w:rsidP="00337279">
            <w:pPr>
              <w:jc w:val="both"/>
            </w:pPr>
            <w:r>
              <w:t>Chapter 6</w:t>
            </w:r>
          </w:p>
        </w:tc>
      </w:tr>
      <w:tr w:rsidR="00CB37DC" w:rsidTr="009719C6">
        <w:tc>
          <w:tcPr>
            <w:tcW w:w="1338" w:type="dxa"/>
          </w:tcPr>
          <w:p w:rsidR="00CB37DC" w:rsidRDefault="00CB37DC" w:rsidP="00337279">
            <w:pPr>
              <w:jc w:val="both"/>
            </w:pPr>
          </w:p>
        </w:tc>
        <w:tc>
          <w:tcPr>
            <w:tcW w:w="8013" w:type="dxa"/>
          </w:tcPr>
          <w:p w:rsidR="00CB37DC" w:rsidRDefault="0041743D" w:rsidP="00337279">
            <w:pPr>
              <w:jc w:val="both"/>
            </w:pPr>
            <w:r>
              <w:t>No changes to note</w:t>
            </w:r>
          </w:p>
        </w:tc>
      </w:tr>
      <w:tr w:rsidR="0041743D" w:rsidTr="009719C6">
        <w:tc>
          <w:tcPr>
            <w:tcW w:w="9351" w:type="dxa"/>
            <w:gridSpan w:val="2"/>
            <w:shd w:val="clear" w:color="auto" w:fill="D9D9D9" w:themeFill="background1" w:themeFillShade="D9"/>
          </w:tcPr>
          <w:p w:rsidR="0041743D" w:rsidRDefault="0041743D" w:rsidP="00337279">
            <w:pPr>
              <w:jc w:val="both"/>
            </w:pPr>
            <w:r>
              <w:t>Chapter 7</w:t>
            </w:r>
          </w:p>
        </w:tc>
      </w:tr>
      <w:tr w:rsidR="00CB37DC" w:rsidTr="009719C6">
        <w:tc>
          <w:tcPr>
            <w:tcW w:w="1338" w:type="dxa"/>
          </w:tcPr>
          <w:p w:rsidR="00CB37DC" w:rsidRDefault="00115586" w:rsidP="00337279">
            <w:pPr>
              <w:jc w:val="both"/>
            </w:pPr>
            <w:r>
              <w:t>M5</w:t>
            </w:r>
          </w:p>
        </w:tc>
        <w:tc>
          <w:tcPr>
            <w:tcW w:w="8013" w:type="dxa"/>
          </w:tcPr>
          <w:p w:rsidR="00CB37DC" w:rsidRDefault="00CB37DC" w:rsidP="00337279">
            <w:pPr>
              <w:jc w:val="both"/>
            </w:pPr>
            <w:r>
              <w:t>Struck through text at the end of the second paragraph (new text) should not be struck through but should be red underlined.</w:t>
            </w:r>
          </w:p>
        </w:tc>
      </w:tr>
      <w:tr w:rsidR="0041743D" w:rsidTr="009719C6">
        <w:tc>
          <w:tcPr>
            <w:tcW w:w="9351" w:type="dxa"/>
            <w:gridSpan w:val="2"/>
            <w:shd w:val="clear" w:color="auto" w:fill="D9D9D9" w:themeFill="background1" w:themeFillShade="D9"/>
          </w:tcPr>
          <w:p w:rsidR="0041743D" w:rsidRDefault="0041743D" w:rsidP="00337279">
            <w:pPr>
              <w:jc w:val="both"/>
            </w:pPr>
            <w:r>
              <w:t>Chapter 8</w:t>
            </w:r>
          </w:p>
        </w:tc>
      </w:tr>
      <w:tr w:rsidR="00CB37DC" w:rsidTr="009719C6">
        <w:tc>
          <w:tcPr>
            <w:tcW w:w="1338" w:type="dxa"/>
          </w:tcPr>
          <w:p w:rsidR="00CB37DC" w:rsidRDefault="00CB37DC" w:rsidP="00337279">
            <w:pPr>
              <w:jc w:val="both"/>
            </w:pPr>
            <w:r>
              <w:t>Paragraph 8.11 (now 8.13)</w:t>
            </w:r>
          </w:p>
        </w:tc>
        <w:tc>
          <w:tcPr>
            <w:tcW w:w="8013" w:type="dxa"/>
          </w:tcPr>
          <w:p w:rsidR="00CB37DC" w:rsidRDefault="00CB37DC" w:rsidP="00337279">
            <w:pPr>
              <w:jc w:val="both"/>
            </w:pPr>
            <w:r>
              <w:t xml:space="preserve">There is only one main modification </w:t>
            </w:r>
            <w:r w:rsidR="00D66674">
              <w:t xml:space="preserve">to this paragraph </w:t>
            </w:r>
            <w:r>
              <w:t xml:space="preserve">shown in the Main Modifications Schedule, which is the addition of the last sentence of the paragraph. The other modifications are removed. </w:t>
            </w:r>
          </w:p>
        </w:tc>
      </w:tr>
      <w:tr w:rsidR="00CB37DC" w:rsidTr="009719C6">
        <w:tc>
          <w:tcPr>
            <w:tcW w:w="1338" w:type="dxa"/>
          </w:tcPr>
          <w:p w:rsidR="00CB37DC" w:rsidRDefault="008D1D2C" w:rsidP="00337279">
            <w:pPr>
              <w:jc w:val="both"/>
            </w:pPr>
            <w:r>
              <w:t>V5</w:t>
            </w:r>
          </w:p>
        </w:tc>
        <w:tc>
          <w:tcPr>
            <w:tcW w:w="8013" w:type="dxa"/>
          </w:tcPr>
          <w:p w:rsidR="00CB37DC" w:rsidRDefault="008D1D2C" w:rsidP="00337279">
            <w:pPr>
              <w:jc w:val="both"/>
            </w:pPr>
            <w:r>
              <w:t xml:space="preserve">The word ‘also’ is deleted by the Main Modifications and should be struck through in red. </w:t>
            </w:r>
          </w:p>
        </w:tc>
      </w:tr>
      <w:tr w:rsidR="008D1D2C" w:rsidTr="009719C6">
        <w:tc>
          <w:tcPr>
            <w:tcW w:w="1338" w:type="dxa"/>
          </w:tcPr>
          <w:p w:rsidR="008D1D2C" w:rsidRDefault="008D1D2C" w:rsidP="00337279">
            <w:pPr>
              <w:jc w:val="both"/>
            </w:pPr>
            <w:r>
              <w:t>V9</w:t>
            </w:r>
          </w:p>
        </w:tc>
        <w:tc>
          <w:tcPr>
            <w:tcW w:w="8013" w:type="dxa"/>
          </w:tcPr>
          <w:p w:rsidR="008D1D2C" w:rsidRDefault="008D1D2C" w:rsidP="00337279">
            <w:pPr>
              <w:jc w:val="both"/>
            </w:pPr>
            <w:r>
              <w:t xml:space="preserve">This </w:t>
            </w:r>
            <w:r w:rsidR="00115586">
              <w:t xml:space="preserve">new </w:t>
            </w:r>
            <w:r>
              <w:t xml:space="preserve">policy </w:t>
            </w:r>
            <w:r w:rsidR="000D1B36">
              <w:t>was shown with</w:t>
            </w:r>
            <w:r>
              <w:t xml:space="preserve"> struck through text in the </w:t>
            </w:r>
            <w:r w:rsidR="00115586">
              <w:t xml:space="preserve">hard copy of the strikethrough </w:t>
            </w:r>
            <w:r>
              <w:t xml:space="preserve">Plan that should not have been included.  </w:t>
            </w:r>
          </w:p>
        </w:tc>
      </w:tr>
      <w:tr w:rsidR="0041743D" w:rsidTr="009719C6">
        <w:tc>
          <w:tcPr>
            <w:tcW w:w="9351" w:type="dxa"/>
            <w:gridSpan w:val="2"/>
            <w:shd w:val="clear" w:color="auto" w:fill="D9D9D9" w:themeFill="background1" w:themeFillShade="D9"/>
          </w:tcPr>
          <w:p w:rsidR="0041743D" w:rsidRDefault="0041743D" w:rsidP="00337279">
            <w:pPr>
              <w:jc w:val="both"/>
            </w:pPr>
            <w:r>
              <w:lastRenderedPageBreak/>
              <w:t>Chapter 9</w:t>
            </w:r>
          </w:p>
        </w:tc>
      </w:tr>
      <w:tr w:rsidR="00CB37DC" w:rsidTr="009719C6">
        <w:tc>
          <w:tcPr>
            <w:tcW w:w="1338" w:type="dxa"/>
          </w:tcPr>
          <w:p w:rsidR="00CB37DC" w:rsidRDefault="00CB37DC" w:rsidP="00337279">
            <w:pPr>
              <w:jc w:val="both"/>
            </w:pPr>
            <w:r>
              <w:t>SP1 West End</w:t>
            </w:r>
          </w:p>
        </w:tc>
        <w:tc>
          <w:tcPr>
            <w:tcW w:w="8013" w:type="dxa"/>
          </w:tcPr>
          <w:p w:rsidR="00CB37DC" w:rsidRDefault="0041743D" w:rsidP="00337279">
            <w:pPr>
              <w:jc w:val="both"/>
            </w:pPr>
            <w:r>
              <w:t>I</w:t>
            </w:r>
            <w:r w:rsidR="00CB37DC">
              <w:t>n the penultimate paragraph delete</w:t>
            </w:r>
            <w:r>
              <w:t>d are the words</w:t>
            </w:r>
            <w:r w:rsidR="00CB37DC">
              <w:t xml:space="preserve"> ‘is in accordance with’ </w:t>
            </w:r>
            <w:r>
              <w:t>which are replaced with</w:t>
            </w:r>
            <w:r w:rsidR="00CB37DC">
              <w:t xml:space="preserve"> ‘has regard to’ the </w:t>
            </w:r>
            <w:proofErr w:type="spellStart"/>
            <w:r w:rsidR="00CB37DC">
              <w:t>Oxpens</w:t>
            </w:r>
            <w:proofErr w:type="spellEnd"/>
            <w:r w:rsidR="00CB37DC">
              <w:t xml:space="preserve"> SPD. </w:t>
            </w:r>
          </w:p>
          <w:p w:rsidR="00CB37DC" w:rsidRDefault="00CB37DC" w:rsidP="00337279">
            <w:pPr>
              <w:jc w:val="both"/>
            </w:pPr>
          </w:p>
        </w:tc>
      </w:tr>
      <w:tr w:rsidR="00CB37DC" w:rsidTr="009719C6">
        <w:tc>
          <w:tcPr>
            <w:tcW w:w="1338" w:type="dxa"/>
          </w:tcPr>
          <w:p w:rsidR="00CB37DC" w:rsidRDefault="00CB37DC" w:rsidP="00337279">
            <w:pPr>
              <w:jc w:val="both"/>
            </w:pPr>
            <w:r>
              <w:t>SP6 Diamond Place</w:t>
            </w:r>
          </w:p>
        </w:tc>
        <w:tc>
          <w:tcPr>
            <w:tcW w:w="8013" w:type="dxa"/>
          </w:tcPr>
          <w:p w:rsidR="00CB37DC" w:rsidRDefault="00115586" w:rsidP="00337279">
            <w:pPr>
              <w:jc w:val="both"/>
            </w:pPr>
            <w:r>
              <w:t>T</w:t>
            </w:r>
            <w:r w:rsidR="00CB37DC">
              <w:t xml:space="preserve">he words ‘in accordance with’ </w:t>
            </w:r>
            <w:r>
              <w:t xml:space="preserve">are replaced </w:t>
            </w:r>
            <w:r w:rsidR="00CB37DC">
              <w:t xml:space="preserve">with the words ‘has regard to’ the Diamond Place SPD </w:t>
            </w:r>
          </w:p>
        </w:tc>
      </w:tr>
      <w:tr w:rsidR="002C74E5" w:rsidTr="009719C6">
        <w:tc>
          <w:tcPr>
            <w:tcW w:w="1338" w:type="dxa"/>
          </w:tcPr>
          <w:p w:rsidR="002C74E5" w:rsidRDefault="00115586" w:rsidP="00337279">
            <w:pPr>
              <w:jc w:val="both"/>
            </w:pPr>
            <w:r>
              <w:t>SP41 now SP40</w:t>
            </w:r>
            <w:r w:rsidR="002C74E5">
              <w:t xml:space="preserve"> (Jesus College Sports Ground)</w:t>
            </w:r>
          </w:p>
        </w:tc>
        <w:tc>
          <w:tcPr>
            <w:tcW w:w="8013" w:type="dxa"/>
          </w:tcPr>
          <w:p w:rsidR="00643561" w:rsidRDefault="00643561" w:rsidP="0033727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line of second paragraph is new text so shouldn’t be struck through:</w:t>
            </w:r>
          </w:p>
          <w:p w:rsidR="002C74E5" w:rsidRDefault="00643561" w:rsidP="00337279">
            <w:pPr>
              <w:jc w:val="both"/>
            </w:pPr>
            <w:r>
              <w:rPr>
                <w:rFonts w:ascii="Calibri" w:hAnsi="Calibri" w:cs="Calibri"/>
              </w:rPr>
              <w:t>“</w:t>
            </w:r>
            <w:proofErr w:type="gramStart"/>
            <w:r>
              <w:rPr>
                <w:rFonts w:ascii="Calibri" w:hAnsi="Calibri" w:cs="Calibri"/>
              </w:rPr>
              <w:t>loss</w:t>
            </w:r>
            <w:proofErr w:type="gramEnd"/>
            <w:r>
              <w:rPr>
                <w:rFonts w:ascii="Calibri" w:hAnsi="Calibri" w:cs="Calibri"/>
              </w:rPr>
              <w:t xml:space="preserve"> of the sports provision can be otherwise compensated for in line with the…”</w:t>
            </w:r>
          </w:p>
        </w:tc>
      </w:tr>
      <w:tr w:rsidR="00336E4E" w:rsidTr="009719C6">
        <w:tc>
          <w:tcPr>
            <w:tcW w:w="1338" w:type="dxa"/>
          </w:tcPr>
          <w:p w:rsidR="00336E4E" w:rsidRDefault="00336E4E" w:rsidP="00337279">
            <w:pPr>
              <w:jc w:val="both"/>
            </w:pPr>
            <w:r>
              <w:t>SP43 (now SP42)</w:t>
            </w:r>
            <w:r w:rsidR="00643561">
              <w:t xml:space="preserve"> Meadow Lane</w:t>
            </w:r>
          </w:p>
        </w:tc>
        <w:tc>
          <w:tcPr>
            <w:tcW w:w="8013" w:type="dxa"/>
          </w:tcPr>
          <w:p w:rsidR="00336E4E" w:rsidRDefault="00336E4E" w:rsidP="00337279">
            <w:pPr>
              <w:jc w:val="both"/>
            </w:pPr>
            <w:r>
              <w:t>The modification for the minimum number of units gives a minimum of 29 in the Main Modifications Schedule. The hard copy version of the strikethrough Plan gives the figure of 49, which has been corrected to 29</w:t>
            </w:r>
            <w:r w:rsidR="00115586">
              <w:t xml:space="preserve"> in the electronic version</w:t>
            </w:r>
            <w:r>
              <w:t xml:space="preserve">. </w:t>
            </w:r>
          </w:p>
        </w:tc>
      </w:tr>
      <w:tr w:rsidR="0041743D" w:rsidTr="009719C6">
        <w:tc>
          <w:tcPr>
            <w:tcW w:w="9351" w:type="dxa"/>
            <w:gridSpan w:val="2"/>
            <w:shd w:val="clear" w:color="auto" w:fill="D9D9D9" w:themeFill="background1" w:themeFillShade="D9"/>
          </w:tcPr>
          <w:p w:rsidR="0041743D" w:rsidRDefault="0041743D" w:rsidP="00337279">
            <w:pPr>
              <w:jc w:val="both"/>
            </w:pPr>
            <w:r>
              <w:t>Glossary, Appendices and Monitoring framework</w:t>
            </w:r>
          </w:p>
        </w:tc>
      </w:tr>
      <w:tr w:rsidR="0041743D" w:rsidTr="009719C6">
        <w:tc>
          <w:tcPr>
            <w:tcW w:w="1338" w:type="dxa"/>
          </w:tcPr>
          <w:p w:rsidR="0041743D" w:rsidRDefault="0041743D" w:rsidP="00337279">
            <w:pPr>
              <w:jc w:val="both"/>
            </w:pPr>
          </w:p>
        </w:tc>
        <w:tc>
          <w:tcPr>
            <w:tcW w:w="8013" w:type="dxa"/>
          </w:tcPr>
          <w:p w:rsidR="0041743D" w:rsidRDefault="0041743D" w:rsidP="00337279">
            <w:pPr>
              <w:jc w:val="both"/>
            </w:pPr>
            <w:r>
              <w:t>No changes to note</w:t>
            </w:r>
          </w:p>
        </w:tc>
      </w:tr>
    </w:tbl>
    <w:p w:rsidR="00E57983" w:rsidRDefault="00E57983" w:rsidP="00337279">
      <w:pPr>
        <w:jc w:val="both"/>
      </w:pPr>
    </w:p>
    <w:p w:rsidR="003F3084" w:rsidRDefault="003F3084" w:rsidP="00337279">
      <w:pPr>
        <w:jc w:val="both"/>
      </w:pPr>
    </w:p>
    <w:sectPr w:rsidR="003F3084" w:rsidSect="0033727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79" w:rsidRDefault="00337279" w:rsidP="00337279">
      <w:pPr>
        <w:spacing w:after="0" w:line="240" w:lineRule="auto"/>
      </w:pPr>
      <w:r>
        <w:separator/>
      </w:r>
    </w:p>
  </w:endnote>
  <w:endnote w:type="continuationSeparator" w:id="0">
    <w:p w:rsidR="00337279" w:rsidRDefault="00337279" w:rsidP="0033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79" w:rsidRDefault="00337279" w:rsidP="00337279">
      <w:pPr>
        <w:spacing w:after="0" w:line="240" w:lineRule="auto"/>
      </w:pPr>
      <w:r>
        <w:separator/>
      </w:r>
    </w:p>
  </w:footnote>
  <w:footnote w:type="continuationSeparator" w:id="0">
    <w:p w:rsidR="00337279" w:rsidRDefault="00337279" w:rsidP="00337279">
      <w:pPr>
        <w:spacing w:after="0" w:line="240" w:lineRule="auto"/>
      </w:pPr>
      <w:r>
        <w:continuationSeparator/>
      </w:r>
    </w:p>
  </w:footnote>
  <w:footnote w:id="1">
    <w:p w:rsidR="00337279" w:rsidRDefault="003372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56054">
          <w:rPr>
            <w:rStyle w:val="Hyperlink"/>
          </w:rPr>
          <w:t>https://www.oxford.gov.uk/downloads/file/5463/csd1_-_oxford_local_plan_2036_proposed_submission_draft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87"/>
    <w:rsid w:val="000C55BF"/>
    <w:rsid w:val="000D1B36"/>
    <w:rsid w:val="00115586"/>
    <w:rsid w:val="001E3AC8"/>
    <w:rsid w:val="002C74E5"/>
    <w:rsid w:val="00336E4E"/>
    <w:rsid w:val="00337279"/>
    <w:rsid w:val="00375CE3"/>
    <w:rsid w:val="00376398"/>
    <w:rsid w:val="003F3084"/>
    <w:rsid w:val="00400F89"/>
    <w:rsid w:val="0041743D"/>
    <w:rsid w:val="00643561"/>
    <w:rsid w:val="007C04A7"/>
    <w:rsid w:val="008D1D2C"/>
    <w:rsid w:val="00942042"/>
    <w:rsid w:val="009719C6"/>
    <w:rsid w:val="00B227C9"/>
    <w:rsid w:val="00B86596"/>
    <w:rsid w:val="00CB37DC"/>
    <w:rsid w:val="00D66674"/>
    <w:rsid w:val="00E57983"/>
    <w:rsid w:val="00F76B87"/>
    <w:rsid w:val="00F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17DAE-EE36-486F-81E6-B29F7C78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55B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2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2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xford.gov.uk/downloads/file/5463/csd1_-_oxford_local_plan_2036_proposed_submission_dra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DD1B-11D8-4A38-999B-D0EEA5D9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B78D9C62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Sarah B.</dc:creator>
  <cp:keywords/>
  <dc:description/>
  <cp:lastModifiedBy>MITCHELL John</cp:lastModifiedBy>
  <cp:revision>2</cp:revision>
  <dcterms:created xsi:type="dcterms:W3CDTF">2020-06-02T15:41:00Z</dcterms:created>
  <dcterms:modified xsi:type="dcterms:W3CDTF">2020-06-02T15:41:00Z</dcterms:modified>
</cp:coreProperties>
</file>